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Кабинет </w:t>
      </w:r>
      <w:r>
        <w:rPr>
          <w:rFonts w:ascii="Times New Roman" w:hAnsi="Times New Roman"/>
          <w:b w:val="1"/>
          <w:color w:val="000000"/>
          <w:sz w:val="24"/>
        </w:rPr>
        <w:t>ОБиЗР</w:t>
      </w:r>
      <w:r>
        <w:rPr>
          <w:rFonts w:ascii="Times New Roman" w:hAnsi="Times New Roman"/>
          <w:b w:val="1"/>
          <w:color w:val="000000"/>
          <w:sz w:val="24"/>
        </w:rPr>
        <w:t xml:space="preserve"> № 12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02000000">
      <w:pPr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РМУ</w:t>
      </w:r>
      <w:r>
        <w:rPr>
          <w:rFonts w:ascii="Times New Roman" w:hAnsi="Times New Roman"/>
          <w:sz w:val="24"/>
        </w:rPr>
        <w:t xml:space="preserve"> (ноутбук)</w:t>
      </w:r>
      <w:r>
        <w:rPr>
          <w:rFonts w:ascii="Times New Roman" w:hAnsi="Times New Roman"/>
          <w:sz w:val="24"/>
        </w:rPr>
        <w:t xml:space="preserve">, мультимедийный проектор, МФУ, </w:t>
      </w:r>
      <w:r>
        <w:rPr>
          <w:rFonts w:ascii="Times New Roman" w:hAnsi="Times New Roman"/>
          <w:sz w:val="24"/>
        </w:rPr>
        <w:t xml:space="preserve">комплект ученической мебели (15 шт.), </w:t>
      </w:r>
      <w:r>
        <w:rPr>
          <w:rFonts w:ascii="Times New Roman" w:hAnsi="Times New Roman"/>
          <w:sz w:val="24"/>
        </w:rPr>
        <w:t xml:space="preserve">доска классная, шкафы </w:t>
      </w:r>
      <w:r>
        <w:rPr>
          <w:rFonts w:ascii="Times New Roman" w:hAnsi="Times New Roman"/>
          <w:color w:val="000000"/>
          <w:sz w:val="24"/>
        </w:rPr>
        <w:t>для хранения учебных пособий, кресло офисное, жалюзи</w:t>
      </w:r>
      <w:r>
        <w:rPr>
          <w:rFonts w:ascii="Times New Roman" w:hAnsi="Times New Roman"/>
          <w:color w:val="000000"/>
          <w:sz w:val="24"/>
        </w:rPr>
        <w:t>.</w:t>
      </w:r>
    </w:p>
    <w:tbl>
      <w:tblPr>
        <w:tblStyle w:val="Style_1"/>
        <w:tblInd w:type="dxa" w:w="-113"/>
        <w:tblLayout w:type="fixed"/>
      </w:tblPr>
      <w:tblGrid>
        <w:gridCol w:w="9458"/>
      </w:tblGrid>
      <w:tr>
        <w:tc>
          <w:tcPr>
            <w:tcW w:type="dxa" w:w="9458"/>
          </w:tcPr>
          <w:p w14:paraId="03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  <w:sz w:val="24"/>
              </w:rPr>
              <w:t>Дозиметр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04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  <w:sz w:val="24"/>
              </w:rPr>
              <w:t>Общевойсковой защитный комплект (ОЗК)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05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  <w:sz w:val="24"/>
              </w:rPr>
              <w:t>Респиратор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06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  <w:sz w:val="24"/>
              </w:rPr>
              <w:t>Тренажер для освоения навыков сердечно –легочной реанимации взрослого и ребенка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07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  <w:sz w:val="24"/>
              </w:rPr>
              <w:t>Носилки санитарные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08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  <w:sz w:val="24"/>
              </w:rPr>
              <w:t>Противогаз взрослый фильтрующе –поглощающий ГП-5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09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Противогаз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взрослый,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фильтрующе-поглощающий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ГП-7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0A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  <w:sz w:val="24"/>
              </w:rPr>
              <w:t>Бинт марлевый нестерильный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0B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  <w:sz w:val="24"/>
              </w:rPr>
              <w:t>Жгут кровоостанавливающий эластичный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0C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  <w:sz w:val="24"/>
              </w:rPr>
              <w:t>Косынка медицинская перевязочная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0D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  <w:sz w:val="24"/>
              </w:rPr>
              <w:t>Пакет перевязочный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0E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  <w:sz w:val="24"/>
              </w:rPr>
              <w:t>Булавка безопасная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0F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Аптечка КИМГЗ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10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Стрелковый тренажер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11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Газоанализатор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кислорода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токсичных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газов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цифровой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индикацией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показателей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12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Защитный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костюм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Л-1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13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Макет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гранаты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Ф-</w:t>
            </w:r>
            <w:r>
              <w:rPr>
                <w:rFonts w:ascii="Times New Roman" w:hAnsi="Times New Roman"/>
                <w:spacing w:val="-10"/>
                <w:sz w:val="24"/>
              </w:rPr>
              <w:t>1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14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Макет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гранаты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РГД-</w:t>
            </w: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15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Макет наступательной противопехотной осколочной ручной граны ударно – дистанционного действия РГН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16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Магазин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автомату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Калашникова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учебными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патронами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17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Массогабаритный макет 9мм пистолета Макарова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18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Макет простейшего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укрытия 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разрезе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19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Имитаторы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ранений 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поражений для тренажера-манекена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1A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Комплект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шин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складных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средний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1B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Montserrat" w:hAnsi="Montserrat"/>
                <w:color w:val="000000"/>
                <w:sz w:val="24"/>
              </w:rPr>
              <w:t xml:space="preserve">Шина </w:t>
            </w:r>
            <w:r>
              <w:rPr>
                <w:rFonts w:ascii="Montserrat" w:hAnsi="Montserrat"/>
                <w:color w:val="000000"/>
                <w:sz w:val="24"/>
              </w:rPr>
              <w:t>Дитерихса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1C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Компас-</w:t>
            </w:r>
            <w:r>
              <w:rPr>
                <w:rFonts w:ascii="Times New Roman" w:hAnsi="Times New Roman"/>
                <w:spacing w:val="-2"/>
                <w:sz w:val="24"/>
              </w:rPr>
              <w:t>азимут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1D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Лямка носилочная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1E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Индивидуальный противохимический пакет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1F000000">
            <w:pPr>
              <w:ind/>
              <w:jc w:val="both"/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Автомат Калашникова</w:t>
            </w:r>
            <w:r>
              <w:rPr>
                <w:rFonts w:ascii="Times New Roman" w:hAnsi="Times New Roman"/>
                <w:spacing w:val="-2"/>
                <w:sz w:val="24"/>
              </w:rPr>
              <w:t>-74(массогабаритный макет)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20000000">
            <w:pPr>
              <w:rPr>
                <w:rFonts w:ascii="Montserrat" w:hAnsi="Montserrat"/>
                <w:color w:val="000000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Автомат Калашникова</w:t>
            </w:r>
            <w:r>
              <w:rPr>
                <w:rFonts w:ascii="Times New Roman" w:hAnsi="Times New Roman"/>
                <w:spacing w:val="-2"/>
                <w:sz w:val="24"/>
              </w:rPr>
              <w:t>-74М-М (массогабаритный макет)-1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21000000">
            <w:pPr>
              <w:ind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Винтовка пневматическая ИЖ-38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22000000">
            <w:pPr>
              <w:ind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Винтовка пневматическая ИЖ-61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23000000">
            <w:pPr>
              <w:ind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Винтовка пневматическая Байкал МР-512</w:t>
            </w:r>
          </w:p>
        </w:tc>
      </w:tr>
      <w:tr>
        <w:trPr>
          <w:trHeight w:hRule="atLeast" w:val="369"/>
        </w:trPr>
        <w:tc>
          <w:tcPr>
            <w:tcW w:type="dxa" w:w="9458"/>
          </w:tcPr>
          <w:p w14:paraId="24000000">
            <w:pPr>
              <w:ind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Тренажер для оказания первой помощи на месте происшествия</w:t>
            </w:r>
          </w:p>
        </w:tc>
      </w:tr>
    </w:tbl>
    <w:p w14:paraId="25000000">
      <w:pPr>
        <w:rPr>
          <w:rFonts w:ascii="Times New Roman" w:hAnsi="Times New Roman"/>
          <w:b w:val="1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Normal (Web)"/>
    <w:basedOn w:val="Style_2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2_ch"/>
    <w:link w:val="Style_13"/>
    <w:rPr>
      <w:rFonts w:ascii="Times New Roman" w:hAnsi="Times New Roman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h2"/>
    <w:basedOn w:val="Style_5"/>
    <w:link w:val="Style_18_ch"/>
  </w:style>
  <w:style w:styleId="Style_18_ch" w:type="character">
    <w:name w:val="h2"/>
    <w:basedOn w:val="Style_5_ch"/>
    <w:link w:val="Style_18"/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2025-02-15T04:55:41Z</dcterms:modified>
</cp:coreProperties>
</file>